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89" w:rsidRPr="00474F89" w:rsidRDefault="00474F89" w:rsidP="00474F89">
      <w:pPr>
        <w:spacing w:line="240" w:lineRule="auto"/>
        <w:rPr>
          <w:rFonts w:ascii="Minion Pro" w:hAnsi="Minion Pro"/>
          <w:lang w:val="en-US"/>
        </w:rPr>
      </w:pPr>
      <w:bookmarkStart w:id="0" w:name="_GoBack"/>
      <w:bookmarkEnd w:id="0"/>
      <w:r w:rsidRPr="00474F89">
        <w:rPr>
          <w:rFonts w:ascii="Minion Pro" w:hAnsi="Minion Pro"/>
          <w:lang w:val="en-US"/>
        </w:rPr>
        <w:t xml:space="preserve">Material budget departments of Archeology </w:t>
      </w:r>
    </w:p>
    <w:p w:rsidR="00474F89" w:rsidRPr="00474F89" w:rsidRDefault="00474F89" w:rsidP="00474F89">
      <w:pPr>
        <w:spacing w:line="240" w:lineRule="auto"/>
        <w:rPr>
          <w:rFonts w:ascii="Minion Pro" w:hAnsi="Minion Pro"/>
          <w:lang w:val="en-US"/>
        </w:rPr>
      </w:pP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22nd January 2021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Since 1-1-2021, the research groups no longer have their own “group budget”. Funds previously allocated to a research group will now be allocated to the departments. Each researcher can apply for these funds via their department chair. With this redirection of funds, the faculty ensures an adequate and equal financial support for all the academic staff all within the framework of working together in departments. Find below the rules on the departmental funds.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The funds are applicable only to academic staff members with a permanent appointment: tenure track or a replacement appointment of longer than three years. Postdocs, PhDs, and guest are excluded.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The funds belong to the department and the total amount of funds per department is based on the total number of academic staff (FTE) within that department. The funds are not individual budgets per researcher that can be used for direct reimbursement of all individual activities but rather are solely intended for the reimbursement of specific types of activities (see below).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The staff members must consult the Departmental Chair before expenditure. The Departmental Chair checks the request in advance, and only after formal approval from the chair can funds be utilized.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The funds can be spent on individual or group activities that benefit the departmental community. For example: training, a conference visit (where this benefits the department, and that is to be booked through the university travel agency), contribution to the realization of publications, equipment, or analysis.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Where a staff member has access to budgets in the 2nd/3rd funding stream (such as an NWO/EU project or approved plans on the BSF), these funding should be spent first. Only after such funds are exhausted can an additional appeal on the departmental funds be made.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Activities funded by these funds cannot lead to the detriment of teaching commitments, managerial or administrative task. </w:t>
      </w:r>
    </w:p>
    <w:p w:rsidR="00474F89" w:rsidRPr="00474F89" w:rsidRDefault="00474F89" w:rsidP="00474F89">
      <w:pPr>
        <w:spacing w:line="240" w:lineRule="auto"/>
        <w:rPr>
          <w:rFonts w:ascii="Minion Pro" w:hAnsi="Minion Pro"/>
          <w:lang w:val="en-US"/>
        </w:rPr>
      </w:pPr>
      <w:r w:rsidRPr="00474F89">
        <w:rPr>
          <w:rFonts w:ascii="Minion Pro" w:hAnsi="Minion Pro"/>
          <w:lang w:val="en-US"/>
        </w:rPr>
        <w:lastRenderedPageBreak/>
        <w:t xml:space="preserve">The nature of the budget is based on a maximum of 2,500 euros per person per year for an appointment of 0.8 FTE or more. If less than 0.8 FTE, the maximum is adjusted in proportion to the size of the appointment.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Travel is to be booked via the university’s travel agency, Uniglobe. Expenses, as far as possible, to be processed via Serviceplein, using invoices. Only as a last resort are the costs reimbursed via Self Service.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 xml:space="preserve">The Departmental Chair is the budget holder. Ilone de Vries is the Activity Holder. Ilone will be alerted when the Department Chair approves the activity and monitors drawing rights. She also signals possible under- and over-spending of the drawing rights. Sap numbers: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W</w:t>
      </w:r>
      <w:r>
        <w:rPr>
          <w:rFonts w:ascii="Minion Pro" w:hAnsi="Minion Pro"/>
          <w:lang w:val="en-US"/>
        </w:rPr>
        <w:t>o</w:t>
      </w:r>
      <w:r w:rsidRPr="00474F89">
        <w:rPr>
          <w:rFonts w:ascii="Minion Pro" w:hAnsi="Minion Pro"/>
          <w:lang w:val="en-US"/>
        </w:rPr>
        <w:t>rld</w:t>
      </w:r>
      <w:r w:rsidRPr="00474F89">
        <w:rPr>
          <w:rFonts w:ascii="Times New Roman" w:hAnsi="Times New Roman" w:cs="Times New Roman"/>
          <w:lang w:val="en-US"/>
        </w:rPr>
        <w:t> </w:t>
      </w:r>
      <w:r w:rsidRPr="00474F89">
        <w:rPr>
          <w:rFonts w:ascii="Minion Pro" w:hAnsi="Minion Pro"/>
          <w:lang w:val="en-US"/>
        </w:rPr>
        <w:t>Archaeology: 1401</w:t>
      </w:r>
      <w:r w:rsidRPr="00474F89">
        <w:rPr>
          <w:rFonts w:ascii="Times New Roman" w:hAnsi="Times New Roman" w:cs="Times New Roman"/>
          <w:lang w:val="en-US"/>
        </w:rPr>
        <w:t> </w:t>
      </w:r>
      <w:r w:rsidRPr="00474F89">
        <w:rPr>
          <w:rFonts w:ascii="Minion Pro" w:hAnsi="Minion Pro"/>
          <w:lang w:val="en-US"/>
        </w:rPr>
        <w:t xml:space="preserve">20 20 00 </w:t>
      </w:r>
      <w:r w:rsidRPr="00474F89">
        <w:rPr>
          <w:rFonts w:ascii="Times New Roman" w:hAnsi="Times New Roman" w:cs="Times New Roman"/>
          <w:lang w:val="en-US"/>
        </w:rPr>
        <w:t> </w:t>
      </w:r>
      <w:r w:rsidRPr="00474F89">
        <w:rPr>
          <w:rFonts w:ascii="Minion Pro" w:hAnsi="Minion Pro"/>
          <w:lang w:val="en-US"/>
        </w:rPr>
        <w:t xml:space="preserve">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Archaeological Sciences: 1402</w:t>
      </w:r>
      <w:r w:rsidRPr="00474F89">
        <w:rPr>
          <w:rFonts w:ascii="Times New Roman" w:hAnsi="Times New Roman" w:cs="Times New Roman"/>
          <w:lang w:val="en-US"/>
        </w:rPr>
        <w:t> </w:t>
      </w:r>
      <w:r w:rsidRPr="00474F89">
        <w:rPr>
          <w:rFonts w:ascii="Minion Pro" w:hAnsi="Minion Pro"/>
          <w:lang w:val="en-US"/>
        </w:rPr>
        <w:t>20 20 00</w:t>
      </w:r>
      <w:r w:rsidRPr="00474F89">
        <w:rPr>
          <w:rFonts w:ascii="Times New Roman" w:hAnsi="Times New Roman" w:cs="Times New Roman"/>
          <w:lang w:val="en-US"/>
        </w:rPr>
        <w:t> </w:t>
      </w:r>
      <w:r w:rsidRPr="00474F89">
        <w:rPr>
          <w:rFonts w:ascii="Minion Pro" w:hAnsi="Minion Pro"/>
          <w:lang w:val="en-US"/>
        </w:rPr>
        <w:t xml:space="preserve"> </w:t>
      </w:r>
    </w:p>
    <w:p w:rsidR="00474F89" w:rsidRPr="00474F89" w:rsidRDefault="00474F89" w:rsidP="00474F89">
      <w:pPr>
        <w:spacing w:line="240" w:lineRule="auto"/>
        <w:rPr>
          <w:rFonts w:ascii="Minion Pro" w:hAnsi="Minion Pro"/>
          <w:lang w:val="en-US"/>
        </w:rPr>
      </w:pPr>
      <w:r w:rsidRPr="00474F89">
        <w:rPr>
          <w:rFonts w:ascii="Minion Pro" w:hAnsi="Minion Pro"/>
          <w:lang w:val="en-US"/>
        </w:rPr>
        <w:t>Heritage</w:t>
      </w:r>
      <w:r w:rsidRPr="00474F89">
        <w:rPr>
          <w:rFonts w:ascii="Times New Roman" w:hAnsi="Times New Roman" w:cs="Times New Roman"/>
          <w:lang w:val="en-US"/>
        </w:rPr>
        <w:t> </w:t>
      </w:r>
      <w:r w:rsidRPr="00474F89">
        <w:rPr>
          <w:rFonts w:ascii="Minion Pro" w:hAnsi="Minion Pro"/>
          <w:lang w:val="en-US"/>
        </w:rPr>
        <w:t>&amp;</w:t>
      </w:r>
      <w:r w:rsidRPr="00474F89">
        <w:rPr>
          <w:rFonts w:ascii="Times New Roman" w:hAnsi="Times New Roman" w:cs="Times New Roman"/>
          <w:lang w:val="en-US"/>
        </w:rPr>
        <w:t> </w:t>
      </w:r>
      <w:r w:rsidRPr="00474F89">
        <w:rPr>
          <w:rFonts w:ascii="Minion Pro" w:hAnsi="Minion Pro"/>
          <w:lang w:val="en-US"/>
        </w:rPr>
        <w:t>Society</w:t>
      </w:r>
      <w:r w:rsidRPr="00474F89">
        <w:rPr>
          <w:rFonts w:ascii="Times New Roman" w:hAnsi="Times New Roman" w:cs="Times New Roman"/>
          <w:lang w:val="en-US"/>
        </w:rPr>
        <w:t> </w:t>
      </w:r>
      <w:r w:rsidRPr="00474F89">
        <w:rPr>
          <w:rFonts w:ascii="Minion Pro" w:hAnsi="Minion Pro"/>
          <w:lang w:val="en-US"/>
        </w:rPr>
        <w:t>and</w:t>
      </w:r>
      <w:r w:rsidRPr="00474F89">
        <w:rPr>
          <w:rFonts w:ascii="Times New Roman" w:hAnsi="Times New Roman" w:cs="Times New Roman"/>
          <w:lang w:val="en-US"/>
        </w:rPr>
        <w:t> </w:t>
      </w:r>
      <w:r w:rsidRPr="00474F89">
        <w:rPr>
          <w:rFonts w:ascii="Minion Pro" w:hAnsi="Minion Pro"/>
          <w:lang w:val="en-US"/>
        </w:rPr>
        <w:t>Fieldschool: 1403</w:t>
      </w:r>
      <w:r w:rsidRPr="00474F89">
        <w:rPr>
          <w:rFonts w:ascii="Times New Roman" w:hAnsi="Times New Roman" w:cs="Times New Roman"/>
          <w:lang w:val="en-US"/>
        </w:rPr>
        <w:t> </w:t>
      </w:r>
      <w:r w:rsidRPr="00474F89">
        <w:rPr>
          <w:rFonts w:ascii="Minion Pro" w:hAnsi="Minion Pro"/>
          <w:lang w:val="en-US"/>
        </w:rPr>
        <w:t>20 20 00</w:t>
      </w:r>
      <w:r w:rsidRPr="00474F89">
        <w:rPr>
          <w:rFonts w:ascii="Times New Roman" w:hAnsi="Times New Roman" w:cs="Times New Roman"/>
          <w:lang w:val="en-US"/>
        </w:rPr>
        <w:t> </w:t>
      </w:r>
      <w:r w:rsidRPr="00474F89">
        <w:rPr>
          <w:rFonts w:ascii="Minion Pro" w:hAnsi="Minion Pro"/>
          <w:lang w:val="en-US"/>
        </w:rPr>
        <w:t xml:space="preserve"> </w:t>
      </w:r>
    </w:p>
    <w:p w:rsidR="00474F89" w:rsidRPr="00474F89" w:rsidRDefault="00474F89" w:rsidP="00474F89">
      <w:pPr>
        <w:spacing w:line="240" w:lineRule="auto"/>
        <w:rPr>
          <w:rFonts w:ascii="Minion Pro" w:hAnsi="Minion Pro"/>
          <w:lang w:val="en-US"/>
        </w:rPr>
      </w:pPr>
    </w:p>
    <w:p w:rsidR="001D0FDB" w:rsidRPr="00474F89" w:rsidRDefault="00C808FA" w:rsidP="00474F89">
      <w:pPr>
        <w:spacing w:line="240" w:lineRule="auto"/>
        <w:rPr>
          <w:rFonts w:ascii="Minion Pro" w:hAnsi="Minion Pro"/>
          <w:lang w:val="en-US"/>
        </w:rPr>
      </w:pPr>
    </w:p>
    <w:sectPr w:rsidR="001D0FDB" w:rsidRPr="00474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89"/>
    <w:rsid w:val="00063594"/>
    <w:rsid w:val="000B2A9F"/>
    <w:rsid w:val="00166A5F"/>
    <w:rsid w:val="00167114"/>
    <w:rsid w:val="0017226A"/>
    <w:rsid w:val="00192079"/>
    <w:rsid w:val="002217F1"/>
    <w:rsid w:val="00235ED4"/>
    <w:rsid w:val="00262279"/>
    <w:rsid w:val="002C3DB6"/>
    <w:rsid w:val="002D4B59"/>
    <w:rsid w:val="003162D3"/>
    <w:rsid w:val="00321812"/>
    <w:rsid w:val="00363935"/>
    <w:rsid w:val="003A0C21"/>
    <w:rsid w:val="003A1217"/>
    <w:rsid w:val="003D4171"/>
    <w:rsid w:val="00445D97"/>
    <w:rsid w:val="00446C02"/>
    <w:rsid w:val="00467521"/>
    <w:rsid w:val="00474F89"/>
    <w:rsid w:val="00481DEB"/>
    <w:rsid w:val="004922AB"/>
    <w:rsid w:val="004A799E"/>
    <w:rsid w:val="005C6E57"/>
    <w:rsid w:val="005D17D5"/>
    <w:rsid w:val="005D4010"/>
    <w:rsid w:val="005E55CD"/>
    <w:rsid w:val="005E593E"/>
    <w:rsid w:val="006105CD"/>
    <w:rsid w:val="00632018"/>
    <w:rsid w:val="00656B1C"/>
    <w:rsid w:val="00673675"/>
    <w:rsid w:val="006800B3"/>
    <w:rsid w:val="006B2724"/>
    <w:rsid w:val="006B6A87"/>
    <w:rsid w:val="006D0B51"/>
    <w:rsid w:val="006F72C7"/>
    <w:rsid w:val="00724143"/>
    <w:rsid w:val="007531BA"/>
    <w:rsid w:val="00785448"/>
    <w:rsid w:val="007B2DA8"/>
    <w:rsid w:val="007B7BAF"/>
    <w:rsid w:val="008304A9"/>
    <w:rsid w:val="00853324"/>
    <w:rsid w:val="00855B87"/>
    <w:rsid w:val="0086216F"/>
    <w:rsid w:val="00872C6D"/>
    <w:rsid w:val="008779F9"/>
    <w:rsid w:val="008817E9"/>
    <w:rsid w:val="008874BD"/>
    <w:rsid w:val="008926FD"/>
    <w:rsid w:val="008A5E33"/>
    <w:rsid w:val="00910A2F"/>
    <w:rsid w:val="009619CA"/>
    <w:rsid w:val="00984CA7"/>
    <w:rsid w:val="0099245B"/>
    <w:rsid w:val="009A04DD"/>
    <w:rsid w:val="009B3970"/>
    <w:rsid w:val="00A35F46"/>
    <w:rsid w:val="00AC356C"/>
    <w:rsid w:val="00B720B2"/>
    <w:rsid w:val="00B90AD5"/>
    <w:rsid w:val="00BE01A4"/>
    <w:rsid w:val="00BF3A64"/>
    <w:rsid w:val="00BF5C30"/>
    <w:rsid w:val="00C05806"/>
    <w:rsid w:val="00C07306"/>
    <w:rsid w:val="00C12392"/>
    <w:rsid w:val="00C773FA"/>
    <w:rsid w:val="00C808FA"/>
    <w:rsid w:val="00CF6E36"/>
    <w:rsid w:val="00D170DC"/>
    <w:rsid w:val="00D71EF8"/>
    <w:rsid w:val="00DE5376"/>
    <w:rsid w:val="00E01112"/>
    <w:rsid w:val="00E07AE8"/>
    <w:rsid w:val="00E50F29"/>
    <w:rsid w:val="00E522C8"/>
    <w:rsid w:val="00E66B8B"/>
    <w:rsid w:val="00EB2DF6"/>
    <w:rsid w:val="00ED3B6E"/>
    <w:rsid w:val="00EE4C25"/>
    <w:rsid w:val="00F1185E"/>
    <w:rsid w:val="00F12A01"/>
    <w:rsid w:val="00F470D8"/>
    <w:rsid w:val="00F51EB6"/>
    <w:rsid w:val="00FC546D"/>
    <w:rsid w:val="00FE405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16D280-D1DA-43FE-BDE7-1E192F2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Mulders, F.M.C.A.J.</dc:creator>
  <cp:keywords/>
  <dc:description/>
  <cp:lastModifiedBy>Pot, M.J.</cp:lastModifiedBy>
  <cp:revision>2</cp:revision>
  <dcterms:created xsi:type="dcterms:W3CDTF">2021-03-05T14:27:00Z</dcterms:created>
  <dcterms:modified xsi:type="dcterms:W3CDTF">2021-03-05T14:27:00Z</dcterms:modified>
</cp:coreProperties>
</file>